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99" w:rsidRDefault="00F97C99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bookmarkStart w:id="0" w:name="Par1"/>
      <w:bookmarkEnd w:id="0"/>
      <w:r>
        <w:rPr>
          <w:rFonts w:cs="Times New Roman"/>
          <w:szCs w:val="28"/>
        </w:rPr>
        <w:t>7 июля 2014 года N 37-УМ</w:t>
      </w:r>
      <w:r>
        <w:rPr>
          <w:rFonts w:cs="Times New Roman"/>
          <w:szCs w:val="28"/>
        </w:rPr>
        <w:br/>
      </w:r>
    </w:p>
    <w:p w:rsidR="00F97C99" w:rsidRDefault="00F97C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УКАЗ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МЭРА МОСКВЫ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ВНЕСЕНИИ ИЗМЕНЕНИЙ В УКАЗ МЭРА МОСКВЫ ОТ 29 ИЮЛЯ 2009 Г.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N 49-УМ И ПРИЗНАНИИ </w:t>
      </w:r>
      <w:proofErr w:type="gramStart"/>
      <w:r>
        <w:rPr>
          <w:rFonts w:cs="Times New Roman"/>
          <w:b/>
          <w:bCs/>
          <w:szCs w:val="28"/>
        </w:rPr>
        <w:t>УТРАТИВШИМ</w:t>
      </w:r>
      <w:proofErr w:type="gramEnd"/>
      <w:r>
        <w:rPr>
          <w:rFonts w:cs="Times New Roman"/>
          <w:b/>
          <w:bCs/>
          <w:szCs w:val="28"/>
        </w:rPr>
        <w:t xml:space="preserve"> СИЛУ ПУНКТА 7 УКАЗА МЭРА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МОСКВЫ ОТ 15 ФЕВРАЛЯ 2010 Г. N 11-УМ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требованиями Федерального </w:t>
      </w:r>
      <w:hyperlink r:id="rId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25 декабря 2008 г. N 273-ФЗ "О противодействии коррупции" и </w:t>
      </w:r>
      <w:hyperlink r:id="rId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города Москвы от 26 января 2005 г. N 3 "О государственной гражданской службе города Москвы":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Внести изменения в </w:t>
      </w:r>
      <w:hyperlink r:id="rId7" w:history="1">
        <w:r>
          <w:rPr>
            <w:rFonts w:cs="Times New Roman"/>
            <w:color w:val="0000FF"/>
            <w:szCs w:val="28"/>
          </w:rPr>
          <w:t>указ</w:t>
        </w:r>
      </w:hyperlink>
      <w:r>
        <w:rPr>
          <w:rFonts w:cs="Times New Roman"/>
          <w:szCs w:val="28"/>
        </w:rPr>
        <w:t xml:space="preserve">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 (в редакции указа Мэра Москвы от 15 февраля 2010 г. N 11-УМ</w:t>
      </w:r>
      <w:proofErr w:type="gramEnd"/>
      <w:r>
        <w:rPr>
          <w:rFonts w:cs="Times New Roman"/>
          <w:szCs w:val="28"/>
        </w:rPr>
        <w:t>):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hyperlink r:id="rId8" w:history="1">
        <w:r>
          <w:rPr>
            <w:rFonts w:cs="Times New Roman"/>
            <w:color w:val="0000FF"/>
            <w:szCs w:val="28"/>
          </w:rPr>
          <w:t>Пункт 2</w:t>
        </w:r>
      </w:hyperlink>
      <w:r>
        <w:rPr>
          <w:rFonts w:cs="Times New Roman"/>
          <w:szCs w:val="28"/>
        </w:rPr>
        <w:t xml:space="preserve"> указа изложить в следующей редакции: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"2. Установить, что руководители государственных органов города Москвы ежегодно обеспечивают: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proofErr w:type="gramStart"/>
      <w:r>
        <w:rPr>
          <w:rFonts w:cs="Times New Roman"/>
          <w:szCs w:val="28"/>
        </w:rPr>
        <w:t>Подготовку и утверждение списков должностей государственной гражданской службы города Москвы, составленных в соответствии с перечнем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cs="Times New Roman"/>
          <w:szCs w:val="28"/>
        </w:rPr>
        <w:t xml:space="preserve"> (супруга) и несовершеннолетних детей (далее - списки).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Ознакомление со списками государственных гражданских служащих города Москвы, замещающих должности государственной гражданской службы города Москвы, включенные в списки.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Представление ежегодно до 1 мая списков в Департамент региональной безопасности и противодействия коррупции города Москвы</w:t>
      </w:r>
      <w:proofErr w:type="gramStart"/>
      <w:r>
        <w:rPr>
          <w:rFonts w:cs="Times New Roman"/>
          <w:szCs w:val="28"/>
        </w:rPr>
        <w:t>.".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hyperlink r:id="rId9" w:history="1">
        <w:r>
          <w:rPr>
            <w:rFonts w:cs="Times New Roman"/>
            <w:color w:val="0000FF"/>
            <w:szCs w:val="28"/>
          </w:rPr>
          <w:t>Пункт 4</w:t>
        </w:r>
      </w:hyperlink>
      <w:r>
        <w:rPr>
          <w:rFonts w:cs="Times New Roman"/>
          <w:szCs w:val="28"/>
        </w:rPr>
        <w:t xml:space="preserve"> указа признать утратившим силу.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hyperlink r:id="rId10" w:history="1">
        <w:r>
          <w:rPr>
            <w:rFonts w:cs="Times New Roman"/>
            <w:color w:val="0000FF"/>
            <w:szCs w:val="28"/>
          </w:rPr>
          <w:t>Пункт 6</w:t>
        </w:r>
      </w:hyperlink>
      <w:r>
        <w:rPr>
          <w:rFonts w:cs="Times New Roman"/>
          <w:szCs w:val="28"/>
        </w:rPr>
        <w:t xml:space="preserve"> указа изложить в следующей редакции: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"6.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настоящего указа возложить на заместителя Мэра Москвы в Правительстве Москвы по вопросам </w:t>
      </w:r>
      <w:r>
        <w:rPr>
          <w:rFonts w:cs="Times New Roman"/>
          <w:szCs w:val="28"/>
        </w:rPr>
        <w:lastRenderedPageBreak/>
        <w:t>региональной безопасности и информационной политики Горбенко А.Н.".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hyperlink r:id="rId11" w:history="1">
        <w:r>
          <w:rPr>
            <w:rFonts w:cs="Times New Roman"/>
            <w:color w:val="0000FF"/>
            <w:szCs w:val="28"/>
          </w:rPr>
          <w:t>Приложение</w:t>
        </w:r>
      </w:hyperlink>
      <w:r>
        <w:rPr>
          <w:rFonts w:cs="Times New Roman"/>
          <w:szCs w:val="28"/>
        </w:rPr>
        <w:t xml:space="preserve"> к указу изложить в редакции согласно </w:t>
      </w:r>
      <w:hyperlink w:anchor="Par41" w:history="1">
        <w:r>
          <w:rPr>
            <w:rFonts w:cs="Times New Roman"/>
            <w:color w:val="0000FF"/>
            <w:szCs w:val="28"/>
          </w:rPr>
          <w:t>приложению</w:t>
        </w:r>
      </w:hyperlink>
      <w:r>
        <w:rPr>
          <w:rFonts w:cs="Times New Roman"/>
          <w:szCs w:val="28"/>
        </w:rPr>
        <w:t xml:space="preserve"> к настоящему указу.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 xml:space="preserve">Признать утратившим силу </w:t>
      </w:r>
      <w:hyperlink r:id="rId12" w:history="1">
        <w:r>
          <w:rPr>
            <w:rFonts w:cs="Times New Roman"/>
            <w:color w:val="0000FF"/>
            <w:szCs w:val="28"/>
          </w:rPr>
          <w:t>пункт 7</w:t>
        </w:r>
      </w:hyperlink>
      <w:r>
        <w:rPr>
          <w:rFonts w:cs="Times New Roman"/>
          <w:szCs w:val="28"/>
        </w:rPr>
        <w:t xml:space="preserve"> указа Мэра Москвы от 15 февраля 2010 г. N 11-УМ 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поведению".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Мэр Москвы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С.С. Собянин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bookmarkStart w:id="1" w:name="Par33"/>
      <w:bookmarkEnd w:id="1"/>
      <w:r>
        <w:rPr>
          <w:rFonts w:cs="Times New Roman"/>
          <w:szCs w:val="28"/>
        </w:rPr>
        <w:t>Приложение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указу Мэра Москвы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7 июля 2014 г. N 37-УМ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указу Мэра Москвы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29 июля 2009 г. N 49-УМ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2" w:name="Par41"/>
      <w:bookmarkEnd w:id="2"/>
      <w:r>
        <w:rPr>
          <w:rFonts w:cs="Times New Roman"/>
          <w:b/>
          <w:bCs/>
          <w:szCs w:val="28"/>
        </w:rPr>
        <w:t>ПЕРЕЧЕНЬ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ГОСУДАРСТВЕННОЙ ГРАЖДАНСКОЙ СЛУЖБЫ ГОРОДА МОСКВЫ,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ПРИ </w:t>
      </w:r>
      <w:proofErr w:type="gramStart"/>
      <w:r>
        <w:rPr>
          <w:rFonts w:cs="Times New Roman"/>
          <w:b/>
          <w:bCs/>
          <w:szCs w:val="28"/>
        </w:rPr>
        <w:t>НАЗНАЧЕНИИ</w:t>
      </w:r>
      <w:proofErr w:type="gramEnd"/>
      <w:r>
        <w:rPr>
          <w:rFonts w:cs="Times New Roman"/>
          <w:b/>
          <w:bCs/>
          <w:szCs w:val="28"/>
        </w:rPr>
        <w:t xml:space="preserve"> НА КОТОРЫЕ ГРАЖДАНЕ И ПРИ ЗАМЕЩЕНИИ КОТОРЫХ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ГОСУДАРСТВЕННЫЕ ГРАЖДАНСКИЕ СЛУЖАЩИЕ ГОРОДА МОСКВЫ ОБЯЗАНЫ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ПРЕДСТАВЛЯТЬ СВЕДЕНИЯ О СВОИХ ДОХОДАХ, ОБ ИМУЩЕСТВЕ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И </w:t>
      </w:r>
      <w:proofErr w:type="gramStart"/>
      <w:r>
        <w:rPr>
          <w:rFonts w:cs="Times New Roman"/>
          <w:b/>
          <w:bCs/>
          <w:szCs w:val="28"/>
        </w:rPr>
        <w:t>ОБЯЗАТЕЛЬСТВАХ</w:t>
      </w:r>
      <w:proofErr w:type="gramEnd"/>
      <w:r>
        <w:rPr>
          <w:rFonts w:cs="Times New Roman"/>
          <w:b/>
          <w:bCs/>
          <w:szCs w:val="28"/>
        </w:rPr>
        <w:t xml:space="preserve"> ИМУЩЕСТВЕННОГО ХАРАКТЕРА, А ТАКЖЕ СВЕДЕНИЯ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ДОХОДАХ, ОБ ИМУЩЕСТВЕ И ОБЯЗАТЕЛЬСТВАХ </w:t>
      </w:r>
      <w:proofErr w:type="gramStart"/>
      <w:r>
        <w:rPr>
          <w:rFonts w:cs="Times New Roman"/>
          <w:b/>
          <w:bCs/>
          <w:szCs w:val="28"/>
        </w:rPr>
        <w:t>ИМУЩЕСТВЕННОГО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ХАРАКТЕРА СВОИХ СУПРУГИ (СУПРУГА) И НЕСОВЕРШЕННОЛЕТНИХ ДЕТЕЙ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Должности государственной гражданской службы города Москвы, </w:t>
      </w:r>
      <w:r>
        <w:rPr>
          <w:rFonts w:cs="Times New Roman"/>
          <w:szCs w:val="28"/>
        </w:rPr>
        <w:lastRenderedPageBreak/>
        <w:t xml:space="preserve">отнесенные </w:t>
      </w:r>
      <w:hyperlink r:id="rId13" w:history="1">
        <w:r>
          <w:rPr>
            <w:rFonts w:cs="Times New Roman"/>
            <w:color w:val="0000FF"/>
            <w:szCs w:val="28"/>
          </w:rPr>
          <w:t>Реестром</w:t>
        </w:r>
      </w:hyperlink>
      <w:r>
        <w:rPr>
          <w:rFonts w:cs="Times New Roman"/>
          <w:szCs w:val="28"/>
        </w:rPr>
        <w:t xml:space="preserve"> должностей государственной гражданской службы города Москвы, утвержденным указом Мэра Москвы от 31 марта 2005 г. N 20-УМ "О Реестре должностей государственной гражданской службы города Москвы", к высшим должностям государственной гражданской службы города Москвы.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Должности государственной гражданской службы города Москвы, исполнение должностных обязанностей по которым предусматривает: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осуществление постоянно или в соответствии со специальными полномочиями функций представителя государственной власти либо организационно-распорядительных или административно-хозяйственных функций;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предоставление государственных услуг гражданам и юридическим лицам;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осуществление контрольных и надзорных мероприятий;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подготовку и принятие решений о распределении бюджетных ассигнований, субсидий, межбюджетных трансфертов, а также об исполнении бюджетных обязательств;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управление государственным имуществом;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осуществление закупок товаров, работ, услуг для обеспечения государственных нужд либо выдачу лицензий и разрешений;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хранение и распределение материально-технических ресурсов.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8C202F" w:rsidRDefault="008C202F">
      <w:bookmarkStart w:id="3" w:name="_GoBack"/>
      <w:bookmarkEnd w:id="3"/>
    </w:p>
    <w:sectPr w:rsidR="008C202F" w:rsidSect="00C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99"/>
    <w:rsid w:val="008C202F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D34EF8FC343DD47E5B4942593B43DD13DC7949218CC8B3EF62EB64C121F9BEA81F7F286F9426D6B09MFG" TargetMode="External"/><Relationship Id="rId13" Type="http://schemas.openxmlformats.org/officeDocument/2006/relationships/hyperlink" Target="consultantplus://offline/ref=C05D34EF8FC343DD47E5B4942593B43DD13DC2919619C88B3EF62EB64C121F9BEA81F7F286F9426D6909M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5D34EF8FC343DD47E5B4942593B43DD13DC7949218CC8B3EF62EB64C1201MFG" TargetMode="External"/><Relationship Id="rId12" Type="http://schemas.openxmlformats.org/officeDocument/2006/relationships/hyperlink" Target="consultantplus://offline/ref=C05D34EF8FC343DD47E5B4942593B43DD13DC3929718CE8B3EF62EB64C121F9BEA81F7F286F9426C6B09M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5D34EF8FC343DD47E5B4942593B43DD13DC3949118C88B3EF62EB64C1201MFG" TargetMode="External"/><Relationship Id="rId11" Type="http://schemas.openxmlformats.org/officeDocument/2006/relationships/hyperlink" Target="consultantplus://offline/ref=C05D34EF8FC343DD47E5B4942593B43DD13DC7949218CC8B3EF62EB64C121F9BEA81F7F286F9426D6809MAG" TargetMode="External"/><Relationship Id="rId5" Type="http://schemas.openxmlformats.org/officeDocument/2006/relationships/hyperlink" Target="consultantplus://offline/ref=C05D34EF8FC343DD47E5B59933FFE16EDD39C09F9313C3D634FE77BA4E01M5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5D34EF8FC343DD47E5B4942593B43DD13DC7949218CC8B3EF62EB64C121F9BEA81F7F286F9426D6A09M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5D34EF8FC343DD47E5B4942593B43DD13DC7949218CC8B3EF62EB64C121F9BEA81F7F286F9426D6A09M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2014-08-07T06:12:00Z</dcterms:created>
  <dcterms:modified xsi:type="dcterms:W3CDTF">2014-08-07T06:13:00Z</dcterms:modified>
</cp:coreProperties>
</file>